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nota-de-prensa"/>
    <w:p>
      <w:pPr>
        <w:pStyle w:val="Heading1"/>
      </w:pPr>
      <w:r>
        <w:t xml:space="preserve">NOTA DE PRENSA</w:t>
      </w:r>
    </w:p>
    <w:p>
      <w:pPr>
        <w:pStyle w:val="FirstParagraph"/>
      </w:pPr>
      <w:r>
        <w:rPr>
          <w:b/>
          <w:bCs/>
        </w:rPr>
        <w:t xml:space="preserve">Por Un Mundo Más Justo · Andalucía · 18 de mayo de 2026</w:t>
      </w:r>
    </w:p>
    <w:p>
      <w:r>
        <w:pict>
          <v:rect style="width:0;height:1.5pt" o:hralign="center" o:hrstd="t" o:hr="t"/>
        </w:pict>
      </w:r>
    </w:p>
    <w:bookmarkStart w:id="10" w:name="X4b00beacb4ac2d6a46c6b943d8ce30236ff1797"/>
    <w:p>
      <w:pPr>
        <w:pStyle w:val="Heading2"/>
      </w:pPr>
      <w:r>
        <w:t xml:space="preserve">M+J crece un</w:t>
      </w:r>
      <w:r>
        <w:t xml:space="preserve"> </w:t>
      </w:r>
      <w:r>
        <w:rPr>
          <w:b/>
          <w:bCs/>
        </w:rPr>
        <w:t xml:space="preserve">38% en Andalucía</w:t>
      </w:r>
      <w:r>
        <w:t xml:space="preserve"> </w:t>
      </w:r>
      <w:r>
        <w:t xml:space="preserve">y multiplica por 1,6 su presencia territorial pese a la mayor movilización electoral en una década</w:t>
      </w:r>
    </w:p>
    <w:bookmarkStart w:id="9" w:name="X0017ef563edb50de3f605d664dca6ead17075e0"/>
    <w:p>
      <w:pPr>
        <w:pStyle w:val="Heading3"/>
      </w:pPr>
      <w:r>
        <w:t xml:space="preserve">La candidatura humanista encabezada por María Luz Gómez (90 años) suma</w:t>
      </w:r>
      <w:r>
        <w:t xml:space="preserve"> </w:t>
      </w:r>
      <w:r>
        <w:rPr>
          <w:b/>
          <w:bCs/>
        </w:rPr>
        <w:t xml:space="preserve">4.696 votos</w:t>
      </w:r>
      <w:r>
        <w:t xml:space="preserve"> </w:t>
      </w:r>
      <w:r>
        <w:t xml:space="preserve">en</w:t>
      </w:r>
      <w:r>
        <w:t xml:space="preserve"> </w:t>
      </w:r>
      <w:r>
        <w:rPr>
          <w:b/>
          <w:bCs/>
        </w:rPr>
        <w:t xml:space="preserve">461 municipios</w:t>
      </w:r>
      <w:r>
        <w:t xml:space="preserve"> </w:t>
      </w:r>
      <w:r>
        <w:t xml:space="preserve">y consolida su base electoral pese al efecto dilución provocado por la subida de participación</w:t>
      </w:r>
    </w:p>
    <w:p>
      <w:r>
        <w:pict>
          <v:rect style="width:0;height:1.5pt" o:hralign="center" o:hrstd="t" o:hr="t"/>
        </w:pict>
      </w:r>
    </w:p>
    <w:p>
      <w:pPr>
        <w:pStyle w:val="FirstParagraph"/>
      </w:pPr>
      <w:r>
        <w:rPr>
          <w:b/>
          <w:bCs/>
        </w:rPr>
        <w:t xml:space="preserve">Granada / Málaga, 18 de mayo de 2026.</w:t>
      </w:r>
      <w:r>
        <w:t xml:space="preserve"> </w:t>
      </w:r>
      <w:r>
        <w:t xml:space="preserve">— La candidatura del Partido Por Un Mundo Más Justo (M+J), encabezada en Andalucía por María Luz Gómez Martín (90 años, Granada 1935), cierra las elecciones autonómicas del 17M con</w:t>
      </w:r>
      <w:r>
        <w:t xml:space="preserve"> </w:t>
      </w:r>
      <w:r>
        <w:rPr>
          <w:b/>
          <w:bCs/>
        </w:rPr>
        <w:t xml:space="preserve">4.696 votos</w:t>
      </w:r>
      <w:r>
        <w:t xml:space="preserve"> </w:t>
      </w:r>
      <w:r>
        <w:t xml:space="preserve">y un</w:t>
      </w:r>
      <w:r>
        <w:t xml:space="preserve"> </w:t>
      </w:r>
      <w:r>
        <w:rPr>
          <w:b/>
          <w:bCs/>
        </w:rPr>
        <w:t xml:space="preserve">0,11% del voto válido</w:t>
      </w:r>
      <w:r>
        <w:t xml:space="preserve">, lo que representa</w:t>
      </w:r>
      <w:r>
        <w:t xml:space="preserve"> </w:t>
      </w:r>
      <w:r>
        <w:rPr>
          <w:b/>
          <w:bCs/>
        </w:rPr>
        <w:t xml:space="preserve">un crecimiento del 38% respecto a 2022</w:t>
      </w:r>
      <w:r>
        <w:t xml:space="preserve"> </w:t>
      </w:r>
      <w:r>
        <w:t xml:space="preserve">(3.418 votos · 0,09%) y un aumento del</w:t>
      </w:r>
      <w:r>
        <w:t xml:space="preserve"> </w:t>
      </w:r>
      <w:r>
        <w:rPr>
          <w:b/>
          <w:bCs/>
        </w:rPr>
        <w:t xml:space="preserve">22% relativo en cuota electoral</w:t>
      </w:r>
      <w:r>
        <w:t xml:space="preserve">.</w:t>
      </w:r>
    </w:p>
    <w:p>
      <w:pPr>
        <w:pStyle w:val="BodyText"/>
      </w:pPr>
      <w:r>
        <w:t xml:space="preserve">El partido ha</w:t>
      </w:r>
      <w:r>
        <w:t xml:space="preserve"> </w:t>
      </w:r>
      <w:r>
        <w:rPr>
          <w:b/>
          <w:bCs/>
        </w:rPr>
        <w:t xml:space="preserve">multiplicado por 1,6 su presencia territorial</w:t>
      </w:r>
      <w:r>
        <w:t xml:space="preserve">: si en 2022 obtuvo votos en unos 280 municipios andaluces, en el escrutinio del 17M aparece con voto registrado en</w:t>
      </w:r>
      <w:r>
        <w:t xml:space="preserve"> </w:t>
      </w:r>
      <w:r>
        <w:rPr>
          <w:b/>
          <w:bCs/>
        </w:rPr>
        <w:t xml:space="preserve">461 de los 785 municipios</w:t>
      </w:r>
      <w:r>
        <w:t xml:space="preserve"> </w:t>
      </w:r>
      <w:r>
        <w:t xml:space="preserve">de la Comunidad Autónoma (</w:t>
      </w:r>
      <w:r>
        <w:rPr>
          <w:b/>
          <w:bCs/>
        </w:rPr>
        <w:t xml:space="preserve">58% del territorio</w:t>
      </w:r>
      <w:r>
        <w:t xml:space="preserve">), incorporando</w:t>
      </w:r>
      <w:r>
        <w:t xml:space="preserve"> </w:t>
      </w:r>
      <w:r>
        <w:rPr>
          <w:b/>
          <w:bCs/>
        </w:rPr>
        <w:t xml:space="preserve">181 pueblos nuevos</w:t>
      </w:r>
      <w:r>
        <w:t xml:space="preserve"> </w:t>
      </w:r>
      <w:r>
        <w:t xml:space="preserve">al mapa M+J.</w:t>
      </w:r>
    </w:p>
    <w:p>
      <w:r>
        <w:pict>
          <v:rect style="width:0;height:1.5pt" o:hralign="center" o:hrstd="t" o:hr="t"/>
        </w:pict>
      </w:r>
    </w:p>
    <w:bookmarkEnd w:id="9"/>
    <w:bookmarkEnd w:id="10"/>
    <w:bookmarkStart w:id="12" w:name="las-cifras-del-17m-para-mj"/>
    <w:p>
      <w:pPr>
        <w:pStyle w:val="Heading2"/>
      </w:pPr>
      <w:r>
        <w:t xml:space="preserve">Las cifras del 17M para M+J</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Indicador</w:t>
            </w:r>
          </w:p>
        </w:tc>
        <w:tc>
          <w:tcPr/>
          <w:p>
            <w:pPr>
              <w:pStyle w:val="Compact"/>
            </w:pPr>
            <w:r>
              <w:t xml:space="preserve">2022</w:t>
            </w:r>
          </w:p>
        </w:tc>
        <w:tc>
          <w:tcPr/>
          <w:p>
            <w:pPr>
              <w:pStyle w:val="Compact"/>
            </w:pPr>
            <w:r>
              <w:rPr>
                <w:b/>
                <w:bCs/>
              </w:rPr>
              <w:t xml:space="preserve">2026</w:t>
            </w:r>
          </w:p>
        </w:tc>
        <w:tc>
          <w:tcPr/>
          <w:p>
            <w:pPr>
              <w:pStyle w:val="Compact"/>
            </w:pPr>
            <w:r>
              <w:t xml:space="preserve">Variación</w:t>
            </w:r>
          </w:p>
        </w:tc>
      </w:tr>
      <w:tr>
        <w:tc>
          <w:tcPr/>
          <w:p>
            <w:pPr>
              <w:pStyle w:val="Compact"/>
            </w:pPr>
            <w:r>
              <w:t xml:space="preserve">Votos Andalucía</w:t>
            </w:r>
          </w:p>
        </w:tc>
        <w:tc>
          <w:tcPr/>
          <w:p>
            <w:pPr>
              <w:pStyle w:val="Compact"/>
            </w:pPr>
            <w:r>
              <w:t xml:space="preserve">3.418</w:t>
            </w:r>
          </w:p>
        </w:tc>
        <w:tc>
          <w:tcPr/>
          <w:p>
            <w:pPr>
              <w:pStyle w:val="Compact"/>
            </w:pPr>
            <w:r>
              <w:rPr>
                <w:b/>
                <w:bCs/>
              </w:rPr>
              <w:t xml:space="preserve">4.696</w:t>
            </w:r>
          </w:p>
        </w:tc>
        <w:tc>
          <w:tcPr/>
          <w:p>
            <w:pPr>
              <w:pStyle w:val="Compact"/>
            </w:pPr>
            <w:r>
              <w:rPr>
                <w:b/>
                <w:bCs/>
              </w:rPr>
              <w:t xml:space="preserve">+36,7%</w:t>
            </w:r>
          </w:p>
        </w:tc>
      </w:tr>
      <w:tr>
        <w:tc>
          <w:tcPr/>
          <w:p>
            <w:pPr>
              <w:pStyle w:val="Compact"/>
            </w:pPr>
            <w:r>
              <w:t xml:space="preserve">Cuota electoral</w:t>
            </w:r>
          </w:p>
        </w:tc>
        <w:tc>
          <w:tcPr/>
          <w:p>
            <w:pPr>
              <w:pStyle w:val="Compact"/>
            </w:pPr>
            <w:r>
              <w:t xml:space="preserve">0,09%</w:t>
            </w:r>
          </w:p>
        </w:tc>
        <w:tc>
          <w:tcPr/>
          <w:p>
            <w:pPr>
              <w:pStyle w:val="Compact"/>
            </w:pPr>
            <w:r>
              <w:rPr>
                <w:b/>
                <w:bCs/>
              </w:rPr>
              <w:t xml:space="preserve">0,11%</w:t>
            </w:r>
          </w:p>
        </w:tc>
        <w:tc>
          <w:tcPr/>
          <w:p>
            <w:pPr>
              <w:pStyle w:val="Compact"/>
            </w:pPr>
            <w:r>
              <w:rPr>
                <w:b/>
                <w:bCs/>
              </w:rPr>
              <w:t xml:space="preserve">+22%</w:t>
            </w:r>
          </w:p>
        </w:tc>
      </w:tr>
      <w:tr>
        <w:tc>
          <w:tcPr/>
          <w:p>
            <w:pPr>
              <w:pStyle w:val="Compact"/>
            </w:pPr>
            <w:r>
              <w:t xml:space="preserve">Municipios con voto M+J</w:t>
            </w:r>
          </w:p>
        </w:tc>
        <w:tc>
          <w:tcPr/>
          <w:p>
            <w:pPr>
              <w:pStyle w:val="Compact"/>
            </w:pPr>
            <w:r>
              <w:t xml:space="preserve">~280</w:t>
            </w:r>
          </w:p>
        </w:tc>
        <w:tc>
          <w:tcPr/>
          <w:p>
            <w:pPr>
              <w:pStyle w:val="Compact"/>
            </w:pPr>
            <w:r>
              <w:rPr>
                <w:b/>
                <w:bCs/>
              </w:rPr>
              <w:t xml:space="preserve">461</w:t>
            </w:r>
          </w:p>
        </w:tc>
        <w:tc>
          <w:tcPr/>
          <w:p>
            <w:pPr>
              <w:pStyle w:val="Compact"/>
            </w:pPr>
            <w:r>
              <w:rPr>
                <w:b/>
                <w:bCs/>
              </w:rPr>
              <w:t xml:space="preserve">+65%</w:t>
            </w:r>
          </w:p>
        </w:tc>
      </w:tr>
      <w:tr>
        <w:tc>
          <w:tcPr/>
          <w:p>
            <w:pPr>
              <w:pStyle w:val="Compact"/>
            </w:pPr>
            <w:r>
              <w:t xml:space="preserve">Cobertura territorial</w:t>
            </w:r>
          </w:p>
        </w:tc>
        <w:tc>
          <w:tcPr/>
          <w:p>
            <w:pPr>
              <w:pStyle w:val="Compact"/>
            </w:pPr>
            <w:r>
              <w:t xml:space="preserve">36%</w:t>
            </w:r>
          </w:p>
        </w:tc>
        <w:tc>
          <w:tcPr/>
          <w:p>
            <w:pPr>
              <w:pStyle w:val="Compact"/>
            </w:pPr>
            <w:r>
              <w:rPr>
                <w:b/>
                <w:bCs/>
              </w:rPr>
              <w:t xml:space="preserve">58%</w:t>
            </w:r>
          </w:p>
        </w:tc>
        <w:tc>
          <w:tcPr/>
          <w:p>
            <w:pPr>
              <w:pStyle w:val="Compact"/>
            </w:pPr>
            <w:r>
              <w:rPr>
                <w:b/>
                <w:bCs/>
              </w:rPr>
              <w:t xml:space="preserve">+22 pp</w:t>
            </w:r>
          </w:p>
        </w:tc>
      </w:tr>
      <w:tr>
        <w:tc>
          <w:tcPr/>
          <w:p>
            <w:pPr>
              <w:pStyle w:val="Compact"/>
            </w:pPr>
            <w:r>
              <w:t xml:space="preserve">Escaños</w:t>
            </w:r>
          </w:p>
        </w:tc>
        <w:tc>
          <w:tcPr/>
          <w:p>
            <w:pPr>
              <w:pStyle w:val="Compact"/>
            </w:pPr>
            <w:r>
              <w:t xml:space="preserve">0</w:t>
            </w:r>
          </w:p>
        </w:tc>
        <w:tc>
          <w:tcPr/>
          <w:p>
            <w:pPr>
              <w:pStyle w:val="Compact"/>
            </w:pPr>
            <w:r>
              <w:t xml:space="preserve">0</w:t>
            </w:r>
          </w:p>
        </w:tc>
        <w:tc>
          <w:tcPr/>
          <w:p>
            <w:pPr>
              <w:pStyle w:val="Compact"/>
            </w:pPr>
            <w:r>
              <w:t xml:space="preserve">—</w:t>
            </w:r>
          </w:p>
        </w:tc>
      </w:tr>
    </w:tbl>
    <w:bookmarkStart w:id="11" w:name="X6707e3dc17c02f1354c5cd328f96ec0c69f8e91"/>
    <w:p>
      <w:pPr>
        <w:pStyle w:val="Heading3"/>
      </w:pPr>
      <w:r>
        <w:t xml:space="preserve">Los 10 municipios con mayor implantación M+J en 2026</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w:t>
            </w:r>
          </w:p>
        </w:tc>
        <w:tc>
          <w:tcPr/>
          <w:p>
            <w:pPr>
              <w:pStyle w:val="Compact"/>
            </w:pPr>
            <w:r>
              <w:t xml:space="preserve">Municipio</w:t>
            </w:r>
          </w:p>
        </w:tc>
        <w:tc>
          <w:tcPr/>
          <w:p>
            <w:pPr>
              <w:pStyle w:val="Compact"/>
            </w:pPr>
            <w:r>
              <w:t xml:space="preserve">Provincia</w:t>
            </w:r>
          </w:p>
        </w:tc>
        <w:tc>
          <w:tcPr/>
          <w:p>
            <w:pPr>
              <w:pStyle w:val="Compact"/>
            </w:pPr>
            <w:r>
              <w:t xml:space="preserve">Votos</w:t>
            </w:r>
          </w:p>
        </w:tc>
        <w:tc>
          <w:tcPr/>
          <w:p>
            <w:pPr>
              <w:pStyle w:val="Compact"/>
            </w:pPr>
            <w:r>
              <w:t xml:space="preserve">%</w:t>
            </w:r>
          </w:p>
        </w:tc>
      </w:tr>
      <w:tr>
        <w:tc>
          <w:tcPr/>
          <w:p>
            <w:pPr>
              <w:pStyle w:val="Compact"/>
            </w:pPr>
            <w:r>
              <w:t xml:space="preserve">1</w:t>
            </w:r>
          </w:p>
        </w:tc>
        <w:tc>
          <w:tcPr/>
          <w:p>
            <w:pPr>
              <w:pStyle w:val="Compact"/>
            </w:pPr>
            <w:r>
              <w:t xml:space="preserve">Granada</w:t>
            </w:r>
          </w:p>
        </w:tc>
        <w:tc>
          <w:tcPr/>
          <w:p>
            <w:pPr>
              <w:pStyle w:val="Compact"/>
            </w:pPr>
            <w:r>
              <w:t xml:space="preserve">Granada</w:t>
            </w:r>
          </w:p>
        </w:tc>
        <w:tc>
          <w:tcPr/>
          <w:p>
            <w:pPr>
              <w:pStyle w:val="Compact"/>
            </w:pPr>
            <w:r>
              <w:t xml:space="preserve">259</w:t>
            </w:r>
          </w:p>
        </w:tc>
        <w:tc>
          <w:tcPr/>
          <w:p>
            <w:pPr>
              <w:pStyle w:val="Compact"/>
            </w:pPr>
            <w:r>
              <w:t xml:space="preserve">0,20%</w:t>
            </w:r>
          </w:p>
        </w:tc>
      </w:tr>
      <w:tr>
        <w:tc>
          <w:tcPr/>
          <w:p>
            <w:pPr>
              <w:pStyle w:val="Compact"/>
            </w:pPr>
            <w:r>
              <w:t xml:space="preserve">2</w:t>
            </w:r>
          </w:p>
        </w:tc>
        <w:tc>
          <w:tcPr/>
          <w:p>
            <w:pPr>
              <w:pStyle w:val="Compact"/>
            </w:pPr>
            <w:r>
              <w:t xml:space="preserve">Córdoba</w:t>
            </w:r>
          </w:p>
        </w:tc>
        <w:tc>
          <w:tcPr/>
          <w:p>
            <w:pPr>
              <w:pStyle w:val="Compact"/>
            </w:pPr>
            <w:r>
              <w:t xml:space="preserve">Córdoba</w:t>
            </w:r>
          </w:p>
        </w:tc>
        <w:tc>
          <w:tcPr/>
          <w:p>
            <w:pPr>
              <w:pStyle w:val="Compact"/>
            </w:pPr>
            <w:r>
              <w:t xml:space="preserve">200</w:t>
            </w:r>
          </w:p>
        </w:tc>
        <w:tc>
          <w:tcPr/>
          <w:p>
            <w:pPr>
              <w:pStyle w:val="Compact"/>
            </w:pPr>
            <w:r>
              <w:t xml:space="preserve">0,11%</w:t>
            </w:r>
          </w:p>
        </w:tc>
      </w:tr>
      <w:tr>
        <w:tc>
          <w:tcPr/>
          <w:p>
            <w:pPr>
              <w:pStyle w:val="Compact"/>
            </w:pPr>
            <w:r>
              <w:t xml:space="preserve">3</w:t>
            </w:r>
          </w:p>
        </w:tc>
        <w:tc>
          <w:tcPr/>
          <w:p>
            <w:pPr>
              <w:pStyle w:val="Compact"/>
            </w:pPr>
            <w:r>
              <w:t xml:space="preserve">Almería</w:t>
            </w:r>
          </w:p>
        </w:tc>
        <w:tc>
          <w:tcPr/>
          <w:p>
            <w:pPr>
              <w:pStyle w:val="Compact"/>
            </w:pPr>
            <w:r>
              <w:t xml:space="preserve">Almería</w:t>
            </w:r>
          </w:p>
        </w:tc>
        <w:tc>
          <w:tcPr/>
          <w:p>
            <w:pPr>
              <w:pStyle w:val="Compact"/>
            </w:pPr>
            <w:r>
              <w:t xml:space="preserve">134</w:t>
            </w:r>
          </w:p>
        </w:tc>
        <w:tc>
          <w:tcPr/>
          <w:p>
            <w:pPr>
              <w:pStyle w:val="Compact"/>
            </w:pPr>
            <w:r>
              <w:t xml:space="preserve">0,14%</w:t>
            </w:r>
          </w:p>
        </w:tc>
      </w:tr>
      <w:tr>
        <w:tc>
          <w:tcPr/>
          <w:p>
            <w:pPr>
              <w:pStyle w:val="Compact"/>
            </w:pPr>
            <w:r>
              <w:t xml:space="preserve">4</w:t>
            </w:r>
          </w:p>
        </w:tc>
        <w:tc>
          <w:tcPr/>
          <w:p>
            <w:pPr>
              <w:pStyle w:val="Compact"/>
            </w:pPr>
            <w:r>
              <w:t xml:space="preserve">Jaén</w:t>
            </w:r>
          </w:p>
        </w:tc>
        <w:tc>
          <w:tcPr/>
          <w:p>
            <w:pPr>
              <w:pStyle w:val="Compact"/>
            </w:pPr>
            <w:r>
              <w:t xml:space="preserve">Jaén</w:t>
            </w:r>
          </w:p>
        </w:tc>
        <w:tc>
          <w:tcPr/>
          <w:p>
            <w:pPr>
              <w:pStyle w:val="Compact"/>
            </w:pPr>
            <w:r>
              <w:t xml:space="preserve">125</w:t>
            </w:r>
          </w:p>
        </w:tc>
        <w:tc>
          <w:tcPr/>
          <w:p>
            <w:pPr>
              <w:pStyle w:val="Compact"/>
            </w:pPr>
            <w:r>
              <w:t xml:space="preserve">0,20%</w:t>
            </w:r>
          </w:p>
        </w:tc>
      </w:tr>
      <w:tr>
        <w:tc>
          <w:tcPr/>
          <w:p>
            <w:pPr>
              <w:pStyle w:val="Compact"/>
            </w:pPr>
            <w:r>
              <w:t xml:space="preserve">5</w:t>
            </w:r>
          </w:p>
        </w:tc>
        <w:tc>
          <w:tcPr/>
          <w:p>
            <w:pPr>
              <w:pStyle w:val="Compact"/>
            </w:pPr>
            <w:r>
              <w:t xml:space="preserve">Jerez de la Frontera</w:t>
            </w:r>
          </w:p>
        </w:tc>
        <w:tc>
          <w:tcPr/>
          <w:p>
            <w:pPr>
              <w:pStyle w:val="Compact"/>
            </w:pPr>
            <w:r>
              <w:t xml:space="preserve">Cádiz</w:t>
            </w:r>
          </w:p>
        </w:tc>
        <w:tc>
          <w:tcPr/>
          <w:p>
            <w:pPr>
              <w:pStyle w:val="Compact"/>
            </w:pPr>
            <w:r>
              <w:t xml:space="preserve">108</w:t>
            </w:r>
          </w:p>
        </w:tc>
        <w:tc>
          <w:tcPr/>
          <w:p>
            <w:pPr>
              <w:pStyle w:val="Compact"/>
            </w:pPr>
            <w:r>
              <w:t xml:space="preserve">0,10%</w:t>
            </w:r>
          </w:p>
        </w:tc>
      </w:tr>
      <w:tr>
        <w:tc>
          <w:tcPr/>
          <w:p>
            <w:pPr>
              <w:pStyle w:val="Compact"/>
            </w:pPr>
            <w:r>
              <w:t xml:space="preserve">6</w:t>
            </w:r>
          </w:p>
        </w:tc>
        <w:tc>
          <w:tcPr/>
          <w:p>
            <w:pPr>
              <w:pStyle w:val="Compact"/>
            </w:pPr>
            <w:r>
              <w:t xml:space="preserve">Cádiz</w:t>
            </w:r>
          </w:p>
        </w:tc>
        <w:tc>
          <w:tcPr/>
          <w:p>
            <w:pPr>
              <w:pStyle w:val="Compact"/>
            </w:pPr>
            <w:r>
              <w:t xml:space="preserve">Cádiz</w:t>
            </w:r>
          </w:p>
        </w:tc>
        <w:tc>
          <w:tcPr/>
          <w:p>
            <w:pPr>
              <w:pStyle w:val="Compact"/>
            </w:pPr>
            <w:r>
              <w:t xml:space="preserve">96</w:t>
            </w:r>
          </w:p>
        </w:tc>
        <w:tc>
          <w:tcPr/>
          <w:p>
            <w:pPr>
              <w:pStyle w:val="Compact"/>
            </w:pPr>
            <w:r>
              <w:t xml:space="preserve">0,15%</w:t>
            </w:r>
          </w:p>
        </w:tc>
      </w:tr>
      <w:tr>
        <w:tc>
          <w:tcPr/>
          <w:p>
            <w:pPr>
              <w:pStyle w:val="Compact"/>
            </w:pPr>
            <w:r>
              <w:t xml:space="preserve">7</w:t>
            </w:r>
          </w:p>
        </w:tc>
        <w:tc>
          <w:tcPr/>
          <w:p>
            <w:pPr>
              <w:pStyle w:val="Compact"/>
            </w:pPr>
            <w:r>
              <w:t xml:space="preserve">Dos Hermanas</w:t>
            </w:r>
          </w:p>
        </w:tc>
        <w:tc>
          <w:tcPr/>
          <w:p>
            <w:pPr>
              <w:pStyle w:val="Compact"/>
            </w:pPr>
            <w:r>
              <w:t xml:space="preserve">Sevilla</w:t>
            </w:r>
          </w:p>
        </w:tc>
        <w:tc>
          <w:tcPr/>
          <w:p>
            <w:pPr>
              <w:pStyle w:val="Compact"/>
            </w:pPr>
            <w:r>
              <w:t xml:space="preserve">83</w:t>
            </w:r>
          </w:p>
        </w:tc>
        <w:tc>
          <w:tcPr/>
          <w:p>
            <w:pPr>
              <w:pStyle w:val="Compact"/>
            </w:pPr>
            <w:r>
              <w:t xml:space="preserve">0,10%</w:t>
            </w:r>
          </w:p>
        </w:tc>
      </w:tr>
      <w:tr>
        <w:tc>
          <w:tcPr/>
          <w:p>
            <w:pPr>
              <w:pStyle w:val="Compact"/>
            </w:pPr>
            <w:r>
              <w:t xml:space="preserve">8</w:t>
            </w:r>
          </w:p>
        </w:tc>
        <w:tc>
          <w:tcPr/>
          <w:p>
            <w:pPr>
              <w:pStyle w:val="Compact"/>
            </w:pPr>
            <w:r>
              <w:t xml:space="preserve">Mijas</w:t>
            </w:r>
          </w:p>
        </w:tc>
        <w:tc>
          <w:tcPr/>
          <w:p>
            <w:pPr>
              <w:pStyle w:val="Compact"/>
            </w:pPr>
            <w:r>
              <w:t xml:space="preserve">Málaga</w:t>
            </w:r>
          </w:p>
        </w:tc>
        <w:tc>
          <w:tcPr/>
          <w:p>
            <w:pPr>
              <w:pStyle w:val="Compact"/>
            </w:pPr>
            <w:r>
              <w:t xml:space="preserve">68</w:t>
            </w:r>
          </w:p>
        </w:tc>
        <w:tc>
          <w:tcPr/>
          <w:p>
            <w:pPr>
              <w:pStyle w:val="Compact"/>
            </w:pPr>
            <w:r>
              <w:t xml:space="preserve">0,22%</w:t>
            </w:r>
          </w:p>
        </w:tc>
      </w:tr>
      <w:tr>
        <w:tc>
          <w:tcPr/>
          <w:p>
            <w:pPr>
              <w:pStyle w:val="Compact"/>
            </w:pPr>
            <w:r>
              <w:t xml:space="preserve">9</w:t>
            </w:r>
          </w:p>
        </w:tc>
        <w:tc>
          <w:tcPr/>
          <w:p>
            <w:pPr>
              <w:pStyle w:val="Compact"/>
            </w:pPr>
            <w:r>
              <w:t xml:space="preserve">San Fernando</w:t>
            </w:r>
          </w:p>
        </w:tc>
        <w:tc>
          <w:tcPr/>
          <w:p>
            <w:pPr>
              <w:pStyle w:val="Compact"/>
            </w:pPr>
            <w:r>
              <w:t xml:space="preserve">Cádiz</w:t>
            </w:r>
          </w:p>
        </w:tc>
        <w:tc>
          <w:tcPr/>
          <w:p>
            <w:pPr>
              <w:pStyle w:val="Compact"/>
            </w:pPr>
            <w:r>
              <w:t xml:space="preserve">67</w:t>
            </w:r>
          </w:p>
        </w:tc>
        <w:tc>
          <w:tcPr/>
          <w:p>
            <w:pPr>
              <w:pStyle w:val="Compact"/>
            </w:pPr>
            <w:r>
              <w:t xml:space="preserve">0,14%</w:t>
            </w:r>
          </w:p>
        </w:tc>
      </w:tr>
      <w:tr>
        <w:tc>
          <w:tcPr/>
          <w:p>
            <w:pPr>
              <w:pStyle w:val="Compact"/>
            </w:pPr>
            <w:r>
              <w:t xml:space="preserve">10</w:t>
            </w:r>
          </w:p>
        </w:tc>
        <w:tc>
          <w:tcPr/>
          <w:p>
            <w:pPr>
              <w:pStyle w:val="Compact"/>
            </w:pPr>
            <w:r>
              <w:t xml:space="preserve">Huelva</w:t>
            </w:r>
          </w:p>
        </w:tc>
        <w:tc>
          <w:tcPr/>
          <w:p>
            <w:pPr>
              <w:pStyle w:val="Compact"/>
            </w:pPr>
            <w:r>
              <w:t xml:space="preserve">Huelva</w:t>
            </w:r>
          </w:p>
        </w:tc>
        <w:tc>
          <w:tcPr/>
          <w:p>
            <w:pPr>
              <w:pStyle w:val="Compact"/>
            </w:pPr>
            <w:r>
              <w:t xml:space="preserve">62</w:t>
            </w:r>
          </w:p>
        </w:tc>
        <w:tc>
          <w:tcPr/>
          <w:p>
            <w:pPr>
              <w:pStyle w:val="Compact"/>
            </w:pPr>
            <w:r>
              <w:t xml:space="preserve">0,08%</w:t>
            </w:r>
          </w:p>
        </w:tc>
      </w:tr>
    </w:tbl>
    <w:p>
      <w:pPr>
        <w:pStyle w:val="BodyText"/>
      </w:pPr>
      <w:r>
        <w:rPr>
          <w:i/>
          <w:iCs/>
        </w:rPr>
        <w:t xml:space="preserve">Fuente: SIEL Junta de Andalucía vía Demócrata, escrutinio 99,90% (datos provisionales hasta 23 de mayo).</w:t>
      </w:r>
    </w:p>
    <w:p>
      <w:r>
        <w:pict>
          <v:rect style="width:0;height:1.5pt" o:hralign="center" o:hrstd="t" o:hr="t"/>
        </w:pict>
      </w:r>
    </w:p>
    <w:bookmarkEnd w:id="11"/>
    <w:bookmarkEnd w:id="12"/>
    <w:bookmarkStart w:id="13" w:name="lectura-política"/>
    <w:p>
      <w:pPr>
        <w:pStyle w:val="Heading2"/>
      </w:pPr>
      <w:r>
        <w:t xml:space="preserve">Lectura política</w:t>
      </w:r>
    </w:p>
    <w:p>
      <w:pPr>
        <w:pStyle w:val="FirstParagraph"/>
      </w:pPr>
      <w:r>
        <w:rPr>
          <w:b/>
          <w:bCs/>
        </w:rPr>
        <w:t xml:space="preserve">1. Crecimiento real en contexto adverso.</w:t>
      </w:r>
      <w:r>
        <w:t xml:space="preserve"> </w:t>
      </w:r>
      <w:r>
        <w:t xml:space="preserve">La participación general subió del 57,2% al 64,85% (+7,7 puntos porcentuales), una avalancha movilizadora que históricamente perjudica a las candidaturas minoritarias por dilución de cuota. M+J no solo aguantó:</w:t>
      </w:r>
      <w:r>
        <w:t xml:space="preserve"> </w:t>
      </w:r>
      <w:r>
        <w:rPr>
          <w:b/>
          <w:bCs/>
        </w:rPr>
        <w:t xml:space="preserve">creció en términos absolutos (+1.278 votos) y también en cuota relativa</w:t>
      </w:r>
      <w:r>
        <w:t xml:space="preserve"> </w:t>
      </w:r>
      <w:r>
        <w:t xml:space="preserve">(de 0,09% a 0,11%). Es un resultado modesto pero estructuralmente significativo.</w:t>
      </w:r>
    </w:p>
    <w:p>
      <w:pPr>
        <w:pStyle w:val="BodyText"/>
      </w:pPr>
      <w:r>
        <w:rPr>
          <w:b/>
          <w:bCs/>
        </w:rPr>
        <w:t xml:space="preserve">2. Expansión territorial visible.</w:t>
      </w:r>
      <w:r>
        <w:t xml:space="preserve"> </w:t>
      </w:r>
      <w:r>
        <w:t xml:space="preserve">El partido pasa de unos 280 municipios con votos a</w:t>
      </w:r>
      <w:r>
        <w:t xml:space="preserve"> </w:t>
      </w:r>
      <w:r>
        <w:rPr>
          <w:b/>
          <w:bCs/>
        </w:rPr>
        <w:t xml:space="preserve">461</w:t>
      </w:r>
      <w:r>
        <w:t xml:space="preserve">: la campaña tocó suelo en 181 pueblos nuevos. La cobertura ya es del 58% de los 785 municipios andaluces. M+J deja de ser un fenómeno puntual urbano para tener firma territorial.</w:t>
      </w:r>
    </w:p>
    <w:p>
      <w:pPr>
        <w:pStyle w:val="BodyText"/>
      </w:pPr>
      <w:r>
        <w:rPr>
          <w:b/>
          <w:bCs/>
        </w:rPr>
        <w:t xml:space="preserve">3. Perfil de voto urbano-cultural.</w:t>
      </w:r>
      <w:r>
        <w:t xml:space="preserve"> </w:t>
      </w:r>
      <w:r>
        <w:t xml:space="preserve">Las cinco capitales andaluzas (Granada 0,20%, Jaén 0,20%, Cádiz 0,15%, Almería 0,14%, Córdoba 0,11%) concentran el mejor rendimiento relativo. Municipios costeros de perfil cosmopolita —Mijas (0,22%), Fuengirola y Marbella— confirman penetración complementaria. Es un voto culto, urbano, intergeneracional.</w:t>
      </w:r>
    </w:p>
    <w:p>
      <w:pPr>
        <w:pStyle w:val="BodyText"/>
      </w:pPr>
      <w:r>
        <w:rPr>
          <w:b/>
          <w:bCs/>
        </w:rPr>
        <w:t xml:space="preserve">4. El factor María Luz.</w:t>
      </w:r>
      <w:r>
        <w:t xml:space="preserve"> </w:t>
      </w:r>
      <w:r>
        <w:t xml:space="preserve">La elección de una cabeza de lista de 90 años con perfil humanista funcionó como dispositivo de visibilidad:</w:t>
      </w:r>
      <w:r>
        <w:t xml:space="preserve"> </w:t>
      </w:r>
      <w:r>
        <w:rPr>
          <w:b/>
          <w:bCs/>
        </w:rPr>
        <w:t xml:space="preserve">más de 40 medios</w:t>
      </w:r>
      <w:r>
        <w:t xml:space="preserve"> </w:t>
      </w:r>
      <w:r>
        <w:t xml:space="preserve">de cobertura nacional e internacional —incluyendo Polonia (Interia), El País, La Vanguardia, ABC, Telecinco, Antena 3, COPE Herrera, Onda Cero Cantizano, Artículo 14, El Español, Sur in English—, miles de impactos en redes y una conversación pública atípica para un partido con 0,11% de cuota.</w:t>
      </w:r>
    </w:p>
    <w:p>
      <w:pPr>
        <w:pStyle w:val="BodyText"/>
      </w:pPr>
      <w:r>
        <w:rPr>
          <w:b/>
          <w:bCs/>
        </w:rPr>
        <w:t xml:space="preserve">5. Lectura estratégica.</w:t>
      </w:r>
      <w:r>
        <w:t xml:space="preserve"> </w:t>
      </w:r>
      <w:r>
        <w:t xml:space="preserve">M+J consolida su nicho de humanismo cívico sin pretender competir por escaños (el umbral provincial efectivo de la candidatura supera el 5% para el primer escaño, inalcanzable a corto plazo). El reto a medio plazo:</w:t>
      </w:r>
      <w:r>
        <w:t xml:space="preserve"> </w:t>
      </w:r>
      <w:r>
        <w:rPr>
          <w:b/>
          <w:bCs/>
        </w:rPr>
        <w:t xml:space="preserve">convertir la visibilidad en estructura territorial estable</w:t>
      </w:r>
      <w:r>
        <w:t xml:space="preserve">. Andalucía es ya el feudo más sólido del partido fuera del entorno fundacional.</w:t>
      </w:r>
    </w:p>
    <w:p>
      <w:r>
        <w:pict>
          <v:rect style="width:0;height:1.5pt" o:hralign="center" o:hrstd="t" o:hr="t"/>
        </w:pict>
      </w:r>
    </w:p>
    <w:bookmarkEnd w:id="13"/>
    <w:bookmarkStart w:id="14" w:name="X4a5b9dcd84f8e61c6d8c7244ae56cc66b56b8f7"/>
    <w:p>
      <w:pPr>
        <w:pStyle w:val="Heading2"/>
      </w:pPr>
      <w:r>
        <w:t xml:space="preserve">Declaración de la Coordinadora Andaluza M+J</w:t>
      </w:r>
    </w:p>
    <w:p>
      <w:pPr>
        <w:pStyle w:val="BlockText"/>
      </w:pPr>
      <w:r>
        <w:rPr>
          <w:i/>
          <w:iCs/>
        </w:rPr>
        <w:t xml:space="preserve">“Estos 4.696 votos no son una cifra estadística: son 4.696 personas que han elegido, en una jornada de movilización política excepcional, no votar contra nadie sino votar a favor de una manera distinta de hacer política. Crecer un 38% cuando todos los partidos pequeños perdían terreno por la avalancha es una validación de que la propuesta humanista interpela. Hemos pasado de hablar en 280 plazas a hablar en 461. Y mañana seguimos, igual que ayer, porque M+J no era una campaña: es una manera de mirar Andalucía.”</w:t>
      </w:r>
    </w:p>
    <w:p>
      <w:pPr>
        <w:pStyle w:val="BlockText"/>
      </w:pPr>
      <w:r>
        <w:t xml:space="preserve">—</w:t>
      </w:r>
      <w:r>
        <w:t xml:space="preserve"> </w:t>
      </w:r>
      <w:r>
        <w:rPr>
          <w:b/>
          <w:bCs/>
        </w:rPr>
        <w:t xml:space="preserve">Coordinadora Andaluza M+J · 18 de mayo de 2026</w:t>
      </w:r>
    </w:p>
    <w:bookmarkEnd w:id="14"/>
    <w:bookmarkStart w:id="15" w:name="declaración-de-maría-luz-gómez-martín"/>
    <w:p>
      <w:pPr>
        <w:pStyle w:val="Heading2"/>
      </w:pPr>
      <w:r>
        <w:t xml:space="preserve">Declaración de María Luz Gómez Martín</w:t>
      </w:r>
    </w:p>
    <w:p>
      <w:pPr>
        <w:pStyle w:val="BlockText"/>
      </w:pPr>
      <w:r>
        <w:rPr>
          <w:i/>
          <w:iCs/>
        </w:rPr>
        <w:t xml:space="preserve">“Tras una campaña que hemos vivido con emoción e ilusión, hoy nos toca recoger frutos. Siempre son menos que los esfuerzos invertidos por tanta gente. Pero estamos felices de haber aumentado nuestros votos y, lo que es más importante aún, que muchas más personas hayan conocido de nuestra existencia y que la política tiene que tener corazón.”</w:t>
      </w:r>
    </w:p>
    <w:p>
      <w:pPr>
        <w:pStyle w:val="BlockText"/>
      </w:pPr>
      <w:r>
        <w:t xml:space="preserve">—</w:t>
      </w:r>
      <w:r>
        <w:t xml:space="preserve"> </w:t>
      </w:r>
      <w:r>
        <w:rPr>
          <w:b/>
          <w:bCs/>
        </w:rPr>
        <w:t xml:space="preserve">María Luz Gómez Martín · candidata M+J Andalucía 17M</w:t>
      </w:r>
      <w:r>
        <w:t xml:space="preserve"> </w:t>
      </w:r>
      <w:r>
        <w:t xml:space="preserve">· declaración recogida por El Español (Alba Rosado, 19 mayo 2026)</w:t>
      </w:r>
    </w:p>
    <w:p>
      <w:r>
        <w:pict>
          <v:rect style="width:0;height:1.5pt" o:hralign="center" o:hrstd="t" o:hr="t"/>
        </w:pict>
      </w:r>
    </w:p>
    <w:bookmarkEnd w:id="15"/>
    <w:bookmarkStart w:id="16" w:name="sobre-por-un-mundo-más-justo-mj"/>
    <w:p>
      <w:pPr>
        <w:pStyle w:val="Heading2"/>
      </w:pPr>
      <w:r>
        <w:t xml:space="preserve">Sobre Por Un Mundo Más Justo (M+J)</w:t>
      </w:r>
    </w:p>
    <w:p>
      <w:pPr>
        <w:pStyle w:val="FirstParagraph"/>
      </w:pPr>
      <w:r>
        <w:t xml:space="preserve">Por Un Mundo Más Justo (M+J · siglas PUM+J) es un partido político español de orientación humanista cívica fundado en 2004. Defiende la centralidad de la dignidad humana, la fraternidad y los derechos sociales frente a las lógicas de partidocracia, mercantilismo y polarización. M+J se presenta de forma estable a elecciones autonómicas y generales con un modelo de candidatura coral —no liderazgo personalista— que mezcla perfiles diversos: mayores activos, jóvenes, profesionales, voluntariado social, voces migrantes.</w:t>
      </w:r>
    </w:p>
    <w:p>
      <w:pPr>
        <w:pStyle w:val="BodyText"/>
      </w:pPr>
      <w:r>
        <w:t xml:space="preserve">En Andalucía, la candidatura del 17M 2026 ha estado encabezada por la</w:t>
      </w:r>
      <w:r>
        <w:t xml:space="preserve"> </w:t>
      </w:r>
      <w:r>
        <w:rPr>
          <w:b/>
          <w:bCs/>
        </w:rPr>
        <w:t xml:space="preserve">Coordinadora Andaluza M+J</w:t>
      </w:r>
      <w:r>
        <w:t xml:space="preserve"> </w:t>
      </w:r>
      <w:r>
        <w:t xml:space="preserve">y la candidatura provincial de Málaga ha sido liderada por</w:t>
      </w:r>
      <w:r>
        <w:t xml:space="preserve"> </w:t>
      </w:r>
      <w:r>
        <w:rPr>
          <w:b/>
          <w:bCs/>
        </w:rPr>
        <w:t xml:space="preserve">María Luz Gómez Martín</w:t>
      </w:r>
      <w:r>
        <w:t xml:space="preserve"> </w:t>
      </w:r>
      <w:r>
        <w:t xml:space="preserve">(Granada, 1935), candidata a la Presidencia de la Junta de Andalucía con 90 años cumplidos, la mayor en edad en presentarse a una autonomía en España. La candidatura ha defendido un programa de</w:t>
      </w:r>
      <w:r>
        <w:t xml:space="preserve"> </w:t>
      </w:r>
      <w:r>
        <w:rPr>
          <w:b/>
          <w:bCs/>
        </w:rPr>
        <w:t xml:space="preserve">378 propuestas concretas</w:t>
      </w:r>
      <w:r>
        <w:t xml:space="preserve"> </w:t>
      </w:r>
      <w:r>
        <w:t xml:space="preserve">estructuradas en torno a 8 ejes: dignidad, mayores, juventud, vivienda, empleo, salud, educación y democracia interna.</w:t>
      </w:r>
    </w:p>
    <w:p>
      <w:r>
        <w:pict>
          <v:rect style="width:0;height:1.5pt" o:hralign="center" o:hrstd="t" o:hr="t"/>
        </w:pict>
      </w:r>
    </w:p>
    <w:bookmarkEnd w:id="16"/>
    <w:bookmarkStart w:id="17" w:name="recursos-para-medios"/>
    <w:p>
      <w:pPr>
        <w:pStyle w:val="Heading2"/>
      </w:pPr>
      <w:r>
        <w:t xml:space="preserve">Recursos para medios</w:t>
      </w:r>
    </w:p>
    <w:p>
      <w:pPr>
        <w:pStyle w:val="Compact"/>
        <w:numPr>
          <w:ilvl w:val="0"/>
          <w:numId w:val="1001"/>
        </w:numPr>
      </w:pPr>
      <w:r>
        <w:rPr>
          <w:b/>
          <w:bCs/>
        </w:rPr>
        <w:t xml:space="preserve">Página de seguimiento con análisis politológico completo</w:t>
      </w:r>
      <w:r>
        <w:t xml:space="preserve">: https://andalucia.porunmundomasjusto.es/resultados/</w:t>
      </w:r>
    </w:p>
    <w:p>
      <w:pPr>
        <w:pStyle w:val="Compact"/>
        <w:numPr>
          <w:ilvl w:val="0"/>
          <w:numId w:val="1001"/>
        </w:numPr>
      </w:pPr>
      <w:r>
        <w:rPr>
          <w:b/>
          <w:bCs/>
        </w:rPr>
        <w:t xml:space="preserve">Página de agradecimiento (cierre de campaña)</w:t>
      </w:r>
      <w:r>
        <w:t xml:space="preserve">: https://andalucia.porunmundomasjusto.es/gracias/</w:t>
      </w:r>
    </w:p>
    <w:p>
      <w:pPr>
        <w:pStyle w:val="Compact"/>
        <w:numPr>
          <w:ilvl w:val="0"/>
          <w:numId w:val="1001"/>
        </w:numPr>
      </w:pPr>
      <w:r>
        <w:rPr>
          <w:b/>
          <w:bCs/>
        </w:rPr>
        <w:t xml:space="preserve">Programa completo (378 propuestas)</w:t>
      </w:r>
      <w:r>
        <w:t xml:space="preserve">: https://andalucia.porunmundomasjusto.es/16-programa/</w:t>
      </w:r>
    </w:p>
    <w:p>
      <w:pPr>
        <w:pStyle w:val="Compact"/>
        <w:numPr>
          <w:ilvl w:val="0"/>
          <w:numId w:val="1001"/>
        </w:numPr>
      </w:pPr>
      <w:r>
        <w:rPr>
          <w:b/>
          <w:bCs/>
        </w:rPr>
        <w:t xml:space="preserve">Hemeroteca de prensa</w:t>
      </w:r>
      <w:r>
        <w:t xml:space="preserve">: https://andalucia.porunmundomasjusto.es/06-prensa/</w:t>
      </w:r>
    </w:p>
    <w:p>
      <w:pPr>
        <w:pStyle w:val="Compact"/>
        <w:numPr>
          <w:ilvl w:val="0"/>
          <w:numId w:val="1001"/>
        </w:numPr>
      </w:pPr>
      <w:r>
        <w:rPr>
          <w:b/>
          <w:bCs/>
        </w:rPr>
        <w:t xml:space="preserve">Manifiesto</w:t>
      </w:r>
      <w:r>
        <w:t xml:space="preserve">: https://andalucia.porunmundomasjusto.es/17-manifiesto/</w:t>
      </w:r>
    </w:p>
    <w:p>
      <w:pPr>
        <w:pStyle w:val="Compact"/>
        <w:numPr>
          <w:ilvl w:val="0"/>
          <w:numId w:val="1001"/>
        </w:numPr>
      </w:pPr>
      <w:r>
        <w:rPr>
          <w:b/>
          <w:bCs/>
        </w:rPr>
        <w:t xml:space="preserve">Web nacional M+J</w:t>
      </w:r>
      <w:r>
        <w:t xml:space="preserve">: https://www.porunmundomasjusto.es</w:t>
      </w:r>
    </w:p>
    <w:p>
      <w:r>
        <w:pict>
          <v:rect style="width:0;height:1.5pt" o:hralign="center" o:hrstd="t" o:hr="t"/>
        </w:pict>
      </w:r>
    </w:p>
    <w:bookmarkEnd w:id="17"/>
    <w:bookmarkStart w:id="18" w:name="contacto-de-prensa"/>
    <w:p>
      <w:pPr>
        <w:pStyle w:val="Heading2"/>
      </w:pPr>
      <w:r>
        <w:t xml:space="preserve">Contacto de prensa</w:t>
      </w:r>
    </w:p>
    <w:p>
      <w:pPr>
        <w:pStyle w:val="Compact"/>
        <w:numPr>
          <w:ilvl w:val="0"/>
          <w:numId w:val="1002"/>
        </w:numPr>
      </w:pPr>
      <w:r>
        <w:rPr>
          <w:b/>
          <w:bCs/>
        </w:rPr>
        <w:t xml:space="preserve">Gabinete de prensa M+J Andalucía</w:t>
      </w:r>
      <w:r>
        <w:t xml:space="preserve"> </w:t>
      </w:r>
      <w:r>
        <w:t xml:space="preserve">— prensa@porunmundomasjusto.es</w:t>
      </w:r>
    </w:p>
    <w:p>
      <w:pPr>
        <w:pStyle w:val="Compact"/>
        <w:numPr>
          <w:ilvl w:val="0"/>
          <w:numId w:val="1002"/>
        </w:numPr>
      </w:pPr>
      <w:r>
        <w:rPr>
          <w:b/>
          <w:bCs/>
        </w:rPr>
        <w:t xml:space="preserve">Coordinadora Andaluza M+J</w:t>
      </w:r>
      <w:r>
        <w:t xml:space="preserve"> </w:t>
      </w:r>
      <w:r>
        <w:t xml:space="preserve">— disponible para entrevistas y declaraciones</w:t>
      </w:r>
    </w:p>
    <w:p>
      <w:r>
        <w:pict>
          <v:rect style="width:0;height:1.5pt" o:hralign="center" o:hrstd="t" o:hr="t"/>
        </w:pict>
      </w:r>
    </w:p>
    <w:p>
      <w:pPr>
        <w:pStyle w:val="FirstParagraph"/>
      </w:pPr>
      <w:r>
        <w:rPr>
          <w:i/>
          <w:iCs/>
        </w:rPr>
        <w:t xml:space="preserve">Esta nota de prensa puede reproducirse total o parcialmente citando la fuente. Material gráfico (fotos María Luz, equipo, eventos de campaña) disponible bajo solicitud al gabinete de prensa.</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2026-05-19T16:43:34Z</dcterms:created>
  <dcterms:modified xsi:type="dcterms:W3CDTF">2026-05-19T16:43:34Z</dcterms:modified>
</cp:coreProperties>
</file>

<file path=docProps/custom.xml><?xml version="1.0" encoding="utf-8"?>
<Properties xmlns="http://schemas.openxmlformats.org/officeDocument/2006/custom-properties" xmlns:vt="http://schemas.openxmlformats.org/officeDocument/2006/docPropsVTypes"/>
</file>